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附件1：</w:t>
      </w:r>
    </w:p>
    <w:p>
      <w:pPr>
        <w:ind w:firstLine="643" w:firstLineChars="200"/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岗位职责及要求</w:t>
      </w:r>
    </w:p>
    <w:p>
      <w:pPr>
        <w:ind w:firstLine="643" w:firstLineChars="200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一、岗位职责：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1、参与制定公司年度融资计划，牵头组织策划公司传统业务融资方案并实施； 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2、负责创新融资业务拓展，拓展外部金融机构并建立长期稳定合作关系； 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3、负责集团融资资金的到期还付及日常结息； 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4、参与项目融资前期方案设计及项目分析，为投融资决策提供依据； 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5、负责公司传统融资业务的监督管理； 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6、负责集团所有融资业务信息、数据及资料的统一稽查与核实工作； 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7、参与制定公司有关融资、担保制度及管理办法； 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8、领导交办的其他事项。</w:t>
      </w:r>
    </w:p>
    <w:p>
      <w:pPr>
        <w:ind w:firstLine="643" w:firstLineChars="200"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二、任职要求：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学历要求：大学统招本科及以上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专业要求：金融、财务等相关专业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知识要求：掌握投融资、金融、银行学等相关知识；熟悉融资业务方案设计、业务操作和协调沟通工作。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技术职称：不限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经验要求：</w:t>
      </w:r>
      <w:r>
        <w:rPr>
          <w:rFonts w:ascii="仿宋_GB2312" w:eastAsia="仿宋_GB2312"/>
          <w:sz w:val="32"/>
          <w:szCs w:val="32"/>
        </w:rPr>
        <w:t>8年以上相关工作经验，具备较强的项目融资能力和协调能力。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年龄要求：</w:t>
      </w:r>
      <w:r>
        <w:rPr>
          <w:rFonts w:ascii="仿宋_GB2312" w:eastAsia="仿宋_GB2312"/>
          <w:sz w:val="32"/>
          <w:szCs w:val="32"/>
        </w:rPr>
        <w:t>35-40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其他要求：具有较强的组织协调管理能力、敏锐的洞察力及谈判能力，具备团队协作意识、较强抗压、执行能力。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092458"/>
    <w:rsid w:val="1309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2021-05-21T02:47:00Z</dcterms:created>
  <dc:creator>阿当和阿康</dc:creator>
  <cp:lastModifiedBy>阿当和阿康</cp:lastModifiedBy>
  <dcterms:modified xsi:type="dcterms:W3CDTF">2021-05-21T02:48:12Z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7ACD7828737F4DF196CD0C0F1B32D189</vt:lpwstr>
  </property>
</Properties>
</file>